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432d1_6k.htm"/>
      <w:bookmarkStart w:id="1" w:name="kstm2623432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General Fusion Group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6020 Russ Baker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Richmond, BC V7B 1B4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10, 2026, General Fusion Group Ltd. (“</w:t>
      </w:r>
      <w:r>
        <w:rPr>
          <w:rFonts w:ascii="Times New Roman;Times;Serif" w:hAnsi="Times New Roman;Times;Serif"/>
          <w:b w:val="false"/>
          <w:i w:val="false"/>
          <w:caps w:val="false"/>
          <w:smallCaps w:val="false"/>
          <w:sz w:val="20"/>
          <w:u w:val="single"/>
        </w:rPr>
        <w:t>New General Fusion</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formerly known as Spring Valley (as defined below), consummated its previously announced business combination pursuant to a Business Combination Agreement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dated as of January 21, 2026 (as amended on May 12, 2026 and June 3, 2026), by and among Spring Valley Acquisition Corp. III, (“</w:t>
      </w:r>
      <w:r>
        <w:rPr>
          <w:rFonts w:ascii="Times New Roman;Times;Serif" w:hAnsi="Times New Roman;Times;Serif"/>
          <w:b w:val="false"/>
          <w:i w:val="false"/>
          <w:caps w:val="false"/>
          <w:smallCaps w:val="false"/>
          <w:sz w:val="20"/>
          <w:u w:val="single"/>
        </w:rPr>
        <w:t>Spring Valley</w:t>
      </w:r>
      <w:r>
        <w:rPr>
          <w:rFonts w:ascii="Times New Roman;Times;Serif" w:hAnsi="Times New Roman;Times;Serif"/>
          <w:b w:val="false"/>
          <w:i w:val="false"/>
          <w:caps w:val="false"/>
          <w:smallCaps w:val="false"/>
          <w:sz w:val="20"/>
        </w:rPr>
        <w:t>”), General Fusion Inc. (“</w:t>
      </w:r>
      <w:r>
        <w:rPr>
          <w:rFonts w:ascii="Times New Roman;Times;Serif" w:hAnsi="Times New Roman;Times;Serif"/>
          <w:b w:val="false"/>
          <w:i w:val="false"/>
          <w:caps w:val="false"/>
          <w:smallCaps w:val="false"/>
          <w:sz w:val="20"/>
          <w:u w:val="single"/>
        </w:rPr>
        <w:t>Old General Fusion</w:t>
      </w:r>
      <w:r>
        <w:rPr>
          <w:rFonts w:ascii="Times New Roman;Times;Serif" w:hAnsi="Times New Roman;Times;Serif"/>
          <w:b w:val="false"/>
          <w:i w:val="false"/>
          <w:caps w:val="false"/>
          <w:smallCaps w:val="false"/>
          <w:sz w:val="20"/>
        </w:rPr>
        <w:t>”), and 1573562 B.C. Ltd., a wholly-owned direct subsidiary of Spring Valley (“</w:t>
      </w:r>
      <w:r>
        <w:rPr>
          <w:rFonts w:ascii="Times New Roman;Times;Serif" w:hAnsi="Times New Roman;Times;Serif"/>
          <w:b w:val="false"/>
          <w:i w:val="false"/>
          <w:caps w:val="false"/>
          <w:smallCaps w:val="false"/>
          <w:sz w:val="20"/>
          <w:u w:val="single"/>
        </w:rPr>
        <w:t>NewCo</w:t>
      </w:r>
      <w:r>
        <w:rPr>
          <w:rFonts w:ascii="Times New Roman;Times;Serif" w:hAnsi="Times New Roman;Times;Serif"/>
          <w:b w:val="false"/>
          <w:i w:val="false"/>
          <w:caps w:val="false"/>
          <w:smallCaps w:val="false"/>
          <w:sz w:val="20"/>
        </w:rPr>
        <w:t>”), and pursuant to which, among other things, Spring Valley changed its corporate name to “General Fusion Group Ltd.”, NewCo amalgamated with Old General Fusion to form one corporate entity, and the common shares of Old General Fusion were exchanged for subordinate voting shares of New General Fusion (now trading on The Nasdaq Stock Market LLC) (collectively, with the other transactions contemplated in the Business Combination Agreement, and the documents contemplated therein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Old General Fusion and Spring Valley entered into securities purchase agreements for a private investment in public equity financing (the “</w:t>
      </w:r>
      <w:r>
        <w:rPr>
          <w:rFonts w:ascii="Times New Roman;Times;Serif" w:hAnsi="Times New Roman;Times;Serif"/>
          <w:b w:val="false"/>
          <w:i w:val="false"/>
          <w:caps w:val="false"/>
          <w:smallCaps w:val="false"/>
          <w:sz w:val="20"/>
          <w:u w:val="single"/>
        </w:rPr>
        <w:t>PIPE Financing</w:t>
      </w:r>
      <w:r>
        <w:rPr>
          <w:rFonts w:ascii="Times New Roman;Times;Serif" w:hAnsi="Times New Roman;Times;Serif"/>
          <w:b w:val="false"/>
          <w:i w:val="false"/>
          <w:caps w:val="false"/>
          <w:smallCaps w:val="false"/>
          <w:sz w:val="20"/>
        </w:rPr>
        <w:t>”) with several investors for total gross proceeds of $107.7 million. Pursuant to the PIPE Financing, investors agreed, among other things, to purchase an aggregate of 10,556,367 units of Old General Fusion at a price of $10.20 per unit, each unit comprising (i) one convertible preferred share of Old General Fusion; and (ii) one warrant exercisable for a common share of Old General Fusion at a price of $12.00 per share, to be consummated on the closing date of the Business Combination, whereupon the purchased securities were immediately exchanged for equivalent securities of New General Fusion.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completion of the Business Combination, both management and the Board of Directors of Spring Valley were replaced with the current management and directors of New General Fusion.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Non-Reliance on Previously Issued Financial Statements or a Related Audit Report or Completed Interim Review.</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General Fusion’s management team, after discussion with WithumSmith+Brown, PC (“Withum”), has determined that the estimated fair value of a non-cash subscription liability reported in Spring Valley’s previously issued condensed consolidated financial statements as of and for the quarter ended March 31, 2026 (an interim period ended before completion of the Business Combination) was overstated. The subscription liability did not affect the cash assets of Spring Valley as of March 31, 2026 or for any subsequent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liability at issue is non-cash and was extinguished at the closing of the Business Combination and the related PIPE Financing on July 10, 2026 and, as a result, will not be included in any of New General Fusion’s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determination, on August 17, 2026, the Board of Directors of New General Fusion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on the recommendation of its Audit Committee, concluded that Spring Valley’s previously issued condensed consolidated financial statements as of and for the quarter ended March 31, 2026,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in Spring Valley’s Quarterly Report on Form 10-Q for the quarter ended March 31, 2026 and in the Registration Statement on Form F-4, as amended (File No. 333-293688), should no longer be relied upon.</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Spring Valley’s condensed consolidated financial statements as of and for the quarter ended March 31, 2026 will be restated and included in an amended Quarterly Report on Form 10-Q to be filed with the SEC (the “</w:t>
      </w:r>
      <w:r>
        <w:rPr>
          <w:rFonts w:ascii="Times New Roman;Times;Serif" w:hAnsi="Times New Roman;Times;Serif"/>
          <w:b w:val="false"/>
          <w:i w:val="false"/>
          <w:caps w:val="false"/>
          <w:smallCaps w:val="false"/>
          <w:sz w:val="20"/>
          <w:u w:val="single"/>
        </w:rPr>
        <w:t>Amended Report</w:t>
      </w:r>
      <w:r>
        <w:rPr>
          <w:rFonts w:ascii="Times New Roman;Times;Serif" w:hAnsi="Times New Roman;Times;Serif"/>
          <w:b w:val="false"/>
          <w:i w:val="false"/>
          <w:caps w:val="false"/>
          <w:smallCaps w:val="false"/>
          <w:sz w:val="20"/>
        </w:rPr>
        <w:t>”) as soon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General Fusion’s management have discussed the matters disclosed in this Report on Form 6-K with Withum.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Cautionary Note Regarding Forward-Looking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included in this report are not historical facts but are forward-looking statements within the meaning of the U.S. federal securities laws and “forward-looking information” within the meaning of applicable Canadian securities laws (collectively, “</w:t>
      </w:r>
      <w:r>
        <w:rPr>
          <w:rFonts w:ascii="Times New Roman;Times;Serif" w:hAnsi="Times New Roman;Times;Serif"/>
          <w:b w:val="false"/>
          <w:i/>
          <w:caps w:val="false"/>
          <w:smallCaps w:val="false"/>
          <w:sz w:val="20"/>
          <w:u w:val="single"/>
        </w:rPr>
        <w:t>forward-looking statements</w:t>
      </w:r>
      <w:r>
        <w:rPr>
          <w:rFonts w:ascii="Times New Roman;Times;Serif" w:hAnsi="Times New Roman;Times;Serif"/>
          <w:b w:val="false"/>
          <w:i/>
          <w:caps w:val="false"/>
          <w:smallCaps w:val="false"/>
          <w:sz w:val="20"/>
        </w:rPr>
        <w:t>”). All statements other than statements of historical facts contained in this report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“estimate,” “plan,” “project,” “forecast,” “intend,” “expect,” “anticipate,” “believe,” “seek,” “strategy,” “future,” “opportunity,” “may,” “target,” “should,” “will,” “would,” “will be,” “will continue,” “will likely result,” “preliminary,” or similar expressions that predict or indicate future events or trends or that are not statements of historical matters, but the absence of these words does not mean that a statement is not forward-looking. Forward-looking statements include, without limitation, statements regarding preparation of Spring Valley’s condensed consolidated financial statements for the period affected by the matters discussed above and subject to restatement; the assessment of Spring Valley’s internal control over financial reporting; the timing of filing the Amended Report; and the potential scope and impact of the issues discussed above, which are estimates as of the date hereof.</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the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These forward-looking statements involve a number of risks, uncertainties, or other assumptions that may cause actual results or performance to be materially different from those expressed or implied by these forward-looking statements. Important factors that could cause actual results to differ materially from those in the forward-looking statements include, but are not limited to: the timing and nature of the resolution of the issues discussed in this filing; any delay in the filing of the Amended Report; the discovery of additional errors or misstatements in previously issued financial statements beyond the period identified above; the timing and results of the Company’s review of the effectiveness of internal control over financial reporting and related disclosure controls and procedures; the possibility that one or more material weaknesses will be identified; any review, inquiry, or investigation by the SEC or other regulatory authority; potential securities litigation arising from the matters discussed herein; and other adverse effects on the Company related to the disclosures made in this report.</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These forward-looking statements are based on certain assumptions, including that none of the risks identified above materialize; that there are no unforeseen changes to economic and market conditions, and that no significant events occur outside the ordinary course of business. </w:t>
      </w:r>
      <w:r>
        <w:rPr>
          <w:rFonts w:ascii="Times New Roman;Times;Serif" w:hAnsi="Times New Roman;Times;Serif"/>
          <w:b w:val="false"/>
          <w:i w:val="false"/>
          <w:caps w:val="false"/>
          <w:smallCaps w:val="false"/>
          <w:sz w:val="20"/>
        </w:rPr>
        <w:t> </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547"/>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list of important factors is not exhaustive, and there may be additional risks that the Company does not presently know or currently believes are immaterial that could also cause actual results to differ materially from those contained in the forward-looking statements. You should carefully consider the foregoing factors, any other factors discussed herein and in the other filings by the Company with the SEC, including those described under the heading “Risk Factors.” The Company does not undertake to update any forward-looking statements, whether as a result of new information, future events, or otherwise, except as required by applicable law.</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2195"/>
        <w:gridCol w:w="650"/>
        <w:gridCol w:w="2960"/>
      </w:tblGrid>
      <w:tr>
        <w:trPr/>
        <w:tc>
          <w:tcPr>
            <w:tcW w:w="219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b/>
              </w:rPr>
            </w:pPr>
            <w:r>
              <w:rPr>
                <w:b/>
              </w:rPr>
              <w:t>General Fusion Group Ltd.</w:t>
            </w:r>
          </w:p>
        </w:tc>
      </w:tr>
      <w:tr>
        <w:trPr/>
        <w:tc>
          <w:tcPr>
            <w:tcW w:w="219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18, 2026</w:t>
            </w:r>
          </w:p>
        </w:tc>
        <w:tc>
          <w:tcPr>
            <w:tcW w:w="650" w:type="dxa"/>
            <w:tcBorders/>
            <w:vAlign w:val="center"/>
          </w:tcPr>
          <w:p>
            <w:pPr>
              <w:pStyle w:val="TableContents"/>
              <w:bidi w:val="0"/>
              <w:spacing w:before="0" w:after="283"/>
              <w:jc w:val="left"/>
              <w:rPr/>
            </w:pPr>
            <w:r>
              <w:rPr/>
              <w:t>By:</w:t>
            </w:r>
          </w:p>
        </w:tc>
        <w:tc>
          <w:tcPr>
            <w:tcW w:w="2960"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Crystal</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60" w:type="dxa"/>
            <w:tcBorders/>
            <w:vAlign w:val="center"/>
          </w:tcPr>
          <w:p>
            <w:pPr>
              <w:pStyle w:val="TableContents"/>
              <w:bidi w:val="0"/>
              <w:spacing w:before="0" w:after="283"/>
              <w:jc w:val="left"/>
              <w:rPr/>
            </w:pPr>
            <w:r>
              <w:rPr/>
              <w:t>Robert Crystal</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960" w:type="dxa"/>
            <w:tcBorders/>
            <w:vAlign w:val="center"/>
          </w:tcPr>
          <w:p>
            <w:pPr>
              <w:pStyle w:val="TableContents"/>
              <w:bidi w:val="0"/>
              <w:spacing w:before="0" w:after="283"/>
              <w:jc w:val="left"/>
              <w:rPr/>
            </w:pPr>
            <w:r>
              <w:rPr/>
              <w:t>Senior Vice President, Finance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1327</Words>
  <Characters>7628</Characters>
  <CharactersWithSpaces>8963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